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2504" w:rsidRDefault="00B25001">
      <w:pPr>
        <w:pStyle w:val="BodyText"/>
        <w:ind w:left="120"/>
        <w:rPr>
          <w:sz w:val="20"/>
        </w:rPr>
      </w:pPr>
      <w:r>
        <w:rPr>
          <w:noProof/>
          <w:sz w:val="20"/>
        </w:rPr>
        <w:drawing>
          <wp:inline distT="0" distB="0" distL="0" distR="0">
            <wp:extent cx="1089025" cy="60960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1089025" cy="609600"/>
                    </a:xfrm>
                    <a:prstGeom prst="rect">
                      <a:avLst/>
                    </a:prstGeom>
                  </pic:spPr>
                </pic:pic>
              </a:graphicData>
            </a:graphic>
          </wp:inline>
        </w:drawing>
      </w:r>
    </w:p>
    <w:p w:rsidR="009C2504" w:rsidRDefault="00B25001">
      <w:pPr>
        <w:spacing w:before="73" w:line="259" w:lineRule="auto"/>
        <w:ind w:left="105" w:right="7694"/>
        <w:rPr>
          <w:sz w:val="18"/>
        </w:rPr>
      </w:pPr>
      <w:r>
        <w:rPr>
          <w:sz w:val="18"/>
        </w:rPr>
        <w:t>Women Alb World</w:t>
      </w:r>
      <w:r>
        <w:rPr>
          <w:spacing w:val="1"/>
          <w:sz w:val="18"/>
        </w:rPr>
        <w:t xml:space="preserve"> </w:t>
      </w:r>
      <w:r>
        <w:rPr>
          <w:spacing w:val="-1"/>
          <w:sz w:val="18"/>
        </w:rPr>
        <w:t xml:space="preserve">International </w:t>
      </w:r>
      <w:r>
        <w:rPr>
          <w:sz w:val="18"/>
        </w:rPr>
        <w:t>Association</w:t>
      </w:r>
      <w:r>
        <w:rPr>
          <w:spacing w:val="-42"/>
          <w:sz w:val="18"/>
        </w:rPr>
        <w:t xml:space="preserve"> </w:t>
      </w:r>
      <w:hyperlink r:id="rId7">
        <w:r>
          <w:rPr>
            <w:sz w:val="18"/>
          </w:rPr>
          <w:t>http://www.walbw.ch</w:t>
        </w:r>
      </w:hyperlink>
      <w:r>
        <w:rPr>
          <w:spacing w:val="1"/>
          <w:sz w:val="18"/>
        </w:rPr>
        <w:t xml:space="preserve"> </w:t>
      </w:r>
      <w:r>
        <w:rPr>
          <w:sz w:val="18"/>
        </w:rPr>
        <w:t>Geneva, Switzerland</w:t>
      </w:r>
    </w:p>
    <w:p w:rsidR="009C2504" w:rsidRDefault="009C2504">
      <w:pPr>
        <w:pStyle w:val="BodyText"/>
        <w:rPr>
          <w:sz w:val="20"/>
        </w:rPr>
      </w:pPr>
    </w:p>
    <w:p w:rsidR="009C2504" w:rsidRDefault="009C2504">
      <w:pPr>
        <w:pStyle w:val="BodyText"/>
        <w:rPr>
          <w:sz w:val="20"/>
        </w:rPr>
      </w:pPr>
    </w:p>
    <w:p w:rsidR="009C2504" w:rsidRDefault="009C2504">
      <w:pPr>
        <w:pStyle w:val="BodyText"/>
        <w:spacing w:before="7"/>
        <w:rPr>
          <w:sz w:val="22"/>
        </w:rPr>
      </w:pPr>
    </w:p>
    <w:p w:rsidR="003A329A" w:rsidRDefault="003A329A" w:rsidP="00814EFA">
      <w:pPr>
        <w:spacing w:before="90" w:line="391" w:lineRule="auto"/>
        <w:ind w:left="2186" w:right="2210"/>
        <w:rPr>
          <w:i/>
          <w:sz w:val="24"/>
        </w:rPr>
      </w:pPr>
      <w:r>
        <w:rPr>
          <w:i/>
          <w:sz w:val="24"/>
        </w:rPr>
        <w:t xml:space="preserve">Date 30 </w:t>
      </w:r>
      <w:proofErr w:type="gramStart"/>
      <w:r>
        <w:rPr>
          <w:i/>
          <w:sz w:val="24"/>
        </w:rPr>
        <w:t>march</w:t>
      </w:r>
      <w:proofErr w:type="gramEnd"/>
      <w:r>
        <w:rPr>
          <w:i/>
          <w:sz w:val="24"/>
        </w:rPr>
        <w:t xml:space="preserve"> 2021, from 18:00-20:00 (Albanian time) in Zoom’s online platform.</w:t>
      </w:r>
    </w:p>
    <w:p w:rsidR="009C2504" w:rsidRDefault="009C2504">
      <w:pPr>
        <w:pStyle w:val="BodyText"/>
        <w:rPr>
          <w:i/>
          <w:sz w:val="26"/>
        </w:rPr>
      </w:pPr>
    </w:p>
    <w:p w:rsidR="009C2504" w:rsidRDefault="00B25001">
      <w:pPr>
        <w:pStyle w:val="BodyText"/>
        <w:spacing w:before="167"/>
        <w:ind w:left="2186" w:right="2204"/>
        <w:jc w:val="center"/>
      </w:pPr>
      <w:r>
        <w:t>CONCEPT-PAPER</w:t>
      </w:r>
    </w:p>
    <w:p w:rsidR="003A329A" w:rsidRDefault="003A329A" w:rsidP="003A329A">
      <w:pPr>
        <w:tabs>
          <w:tab w:val="left" w:pos="3001"/>
        </w:tabs>
        <w:spacing w:before="179"/>
        <w:ind w:left="120"/>
        <w:rPr>
          <w:i/>
          <w:sz w:val="24"/>
        </w:rPr>
      </w:pPr>
      <w:r>
        <w:rPr>
          <w:b/>
          <w:sz w:val="24"/>
        </w:rPr>
        <w:t>Webinar thematic</w:t>
      </w:r>
      <w:r w:rsidR="00B25001">
        <w:rPr>
          <w:b/>
          <w:sz w:val="24"/>
        </w:rPr>
        <w:t>:</w:t>
      </w:r>
      <w:r>
        <w:rPr>
          <w:i/>
          <w:sz w:val="24"/>
        </w:rPr>
        <w:t xml:space="preserve"> “</w:t>
      </w:r>
      <w:r w:rsidRPr="003A329A">
        <w:rPr>
          <w:i/>
          <w:sz w:val="24"/>
        </w:rPr>
        <w:t xml:space="preserve">Gender equality in focus on the eve of the April 25 elections Republic </w:t>
      </w:r>
      <w:proofErr w:type="gramStart"/>
      <w:r w:rsidRPr="003A329A">
        <w:rPr>
          <w:i/>
          <w:sz w:val="24"/>
        </w:rPr>
        <w:t xml:space="preserve">of </w:t>
      </w:r>
      <w:r>
        <w:rPr>
          <w:i/>
          <w:sz w:val="24"/>
        </w:rPr>
        <w:t xml:space="preserve"> </w:t>
      </w:r>
      <w:r w:rsidRPr="003A329A">
        <w:rPr>
          <w:i/>
          <w:sz w:val="24"/>
        </w:rPr>
        <w:t>Albania</w:t>
      </w:r>
      <w:proofErr w:type="gramEnd"/>
      <w:r>
        <w:rPr>
          <w:i/>
          <w:sz w:val="24"/>
        </w:rPr>
        <w:t>”</w:t>
      </w:r>
    </w:p>
    <w:p w:rsidR="003A329A" w:rsidRDefault="003A329A">
      <w:pPr>
        <w:spacing w:before="29"/>
        <w:ind w:left="3002"/>
        <w:rPr>
          <w:i/>
          <w:sz w:val="24"/>
        </w:rPr>
      </w:pPr>
    </w:p>
    <w:p w:rsidR="009C2504" w:rsidRDefault="009C2504">
      <w:pPr>
        <w:pStyle w:val="BodyText"/>
        <w:rPr>
          <w:i/>
          <w:sz w:val="26"/>
        </w:rPr>
      </w:pPr>
    </w:p>
    <w:p w:rsidR="009C2504" w:rsidRDefault="009C2504">
      <w:pPr>
        <w:pStyle w:val="BodyText"/>
        <w:spacing w:before="10"/>
        <w:rPr>
          <w:i/>
          <w:sz w:val="30"/>
        </w:rPr>
      </w:pPr>
    </w:p>
    <w:p w:rsidR="009C2504" w:rsidRDefault="00814EFA">
      <w:pPr>
        <w:pStyle w:val="BodyText"/>
        <w:spacing w:line="256" w:lineRule="auto"/>
        <w:ind w:left="2281" w:right="138" w:hanging="2162"/>
        <w:jc w:val="both"/>
      </w:pPr>
      <w:r>
        <w:rPr>
          <w:b/>
        </w:rPr>
        <w:t>Context</w:t>
      </w:r>
      <w:r w:rsidR="00B25001">
        <w:rPr>
          <w:b/>
        </w:rPr>
        <w:t>:</w:t>
      </w:r>
      <w:r w:rsidR="00B25001">
        <w:rPr>
          <w:b/>
          <w:spacing w:val="1"/>
        </w:rPr>
        <w:t xml:space="preserve"> </w:t>
      </w:r>
      <w:r>
        <w:t xml:space="preserve">                “</w:t>
      </w:r>
      <w:r w:rsidR="00B25001">
        <w:t>Women Alb World” International Association (</w:t>
      </w:r>
      <w:proofErr w:type="spellStart"/>
      <w:r w:rsidR="00B25001">
        <w:t>referuar</w:t>
      </w:r>
      <w:proofErr w:type="spellEnd"/>
      <w:r w:rsidR="00B25001">
        <w:t xml:space="preserve"> </w:t>
      </w:r>
      <w:proofErr w:type="spellStart"/>
      <w:r w:rsidR="00B25001">
        <w:t>më</w:t>
      </w:r>
      <w:proofErr w:type="spellEnd"/>
      <w:r w:rsidR="00B25001">
        <w:t xml:space="preserve"> </w:t>
      </w:r>
      <w:proofErr w:type="spellStart"/>
      <w:r w:rsidR="00B25001">
        <w:t>tej</w:t>
      </w:r>
      <w:proofErr w:type="spellEnd"/>
      <w:r w:rsidR="00B25001">
        <w:t xml:space="preserve"> </w:t>
      </w:r>
      <w:proofErr w:type="spellStart"/>
      <w:r w:rsidR="00B25001">
        <w:t>si</w:t>
      </w:r>
      <w:proofErr w:type="spellEnd"/>
      <w:r w:rsidR="00B25001">
        <w:t xml:space="preserve"> WAW</w:t>
      </w:r>
      <w:proofErr w:type="gramStart"/>
      <w:r w:rsidR="00B25001">
        <w:t>)</w:t>
      </w:r>
      <w:r w:rsidRPr="00814EFA">
        <w:t xml:space="preserve"> )</w:t>
      </w:r>
      <w:proofErr w:type="gramEnd"/>
      <w:r w:rsidRPr="00814EFA">
        <w:t xml:space="preserve"> is a non-profit association based in the Canton of Geneva and aims to network between women in leadership positions and those with different levels of integration, with the aim of implementing policies and support programs to ensure that women are economically active, independent financially and contribute to the countries where they live. On the eve of the elections for the Assembly of the Republic of Albania, the WAW Association has planned on March 30, 2021, from 18:00 to 20:00, to organize an online Webinar that focuse</w:t>
      </w:r>
      <w:r>
        <w:t>s on respecting gender equality</w:t>
      </w:r>
      <w:r w:rsidR="00B25001">
        <w:t>.</w:t>
      </w:r>
    </w:p>
    <w:p w:rsidR="009C2504" w:rsidRDefault="009C2504">
      <w:pPr>
        <w:pStyle w:val="BodyText"/>
        <w:rPr>
          <w:sz w:val="26"/>
        </w:rPr>
      </w:pPr>
    </w:p>
    <w:p w:rsidR="00814EFA" w:rsidRDefault="00814EFA">
      <w:pPr>
        <w:pStyle w:val="Heading1"/>
      </w:pPr>
      <w:r>
        <w:t xml:space="preserve">Webinar’s main purposes </w:t>
      </w:r>
      <w:proofErr w:type="gramStart"/>
      <w:r>
        <w:t>are :</w:t>
      </w:r>
      <w:proofErr w:type="gramEnd"/>
      <w:r>
        <w:t xml:space="preserve"> </w:t>
      </w:r>
    </w:p>
    <w:p w:rsidR="00814EFA" w:rsidRDefault="00814EFA">
      <w:pPr>
        <w:pStyle w:val="ListParagraph"/>
        <w:numPr>
          <w:ilvl w:val="0"/>
          <w:numId w:val="2"/>
        </w:numPr>
        <w:tabs>
          <w:tab w:val="left" w:pos="825"/>
          <w:tab w:val="left" w:pos="826"/>
        </w:tabs>
        <w:spacing w:before="174" w:line="261" w:lineRule="auto"/>
        <w:ind w:right="146"/>
        <w:rPr>
          <w:sz w:val="24"/>
        </w:rPr>
      </w:pPr>
      <w:r w:rsidRPr="00814EFA">
        <w:rPr>
          <w:sz w:val="24"/>
        </w:rPr>
        <w:t>Evidence and disclosure of the programs of political parties in Albania regarding the promotion of gender equality;</w:t>
      </w:r>
    </w:p>
    <w:p w:rsidR="00814EFA" w:rsidRDefault="00814EFA">
      <w:pPr>
        <w:pStyle w:val="ListParagraph"/>
        <w:numPr>
          <w:ilvl w:val="0"/>
          <w:numId w:val="2"/>
        </w:numPr>
        <w:tabs>
          <w:tab w:val="left" w:pos="825"/>
          <w:tab w:val="left" w:pos="826"/>
        </w:tabs>
        <w:spacing w:line="256" w:lineRule="auto"/>
        <w:rPr>
          <w:sz w:val="24"/>
        </w:rPr>
      </w:pPr>
      <w:r w:rsidRPr="00814EFA">
        <w:rPr>
          <w:sz w:val="24"/>
        </w:rPr>
        <w:t>The identified problems related to the respect of gender equality as well as the awareness of the main actors on the importance of women's participation in politics;</w:t>
      </w:r>
    </w:p>
    <w:p w:rsidR="00CE627D" w:rsidRPr="00CE627D" w:rsidRDefault="00CE627D" w:rsidP="00CE627D">
      <w:pPr>
        <w:pStyle w:val="ListParagraph"/>
        <w:numPr>
          <w:ilvl w:val="0"/>
          <w:numId w:val="2"/>
        </w:numPr>
        <w:tabs>
          <w:tab w:val="left" w:pos="825"/>
          <w:tab w:val="left" w:pos="826"/>
        </w:tabs>
        <w:spacing w:line="256" w:lineRule="auto"/>
        <w:rPr>
          <w:sz w:val="24"/>
        </w:rPr>
      </w:pPr>
      <w:r w:rsidRPr="00CE627D">
        <w:rPr>
          <w:sz w:val="24"/>
        </w:rPr>
        <w:t>A discussion of the benefits and drawbacks of the gender quota in the police and parliament.</w:t>
      </w:r>
    </w:p>
    <w:p w:rsidR="00CE627D" w:rsidRDefault="00CE627D" w:rsidP="00CE627D">
      <w:pPr>
        <w:pStyle w:val="ListParagraph"/>
        <w:tabs>
          <w:tab w:val="left" w:pos="825"/>
          <w:tab w:val="left" w:pos="826"/>
        </w:tabs>
        <w:spacing w:line="256" w:lineRule="auto"/>
        <w:ind w:firstLine="0"/>
        <w:rPr>
          <w:sz w:val="24"/>
        </w:rPr>
      </w:pPr>
    </w:p>
    <w:p w:rsidR="009C2504" w:rsidRDefault="009C2504"/>
    <w:p w:rsidR="00814EFA" w:rsidRPr="00814EFA" w:rsidRDefault="00814EFA">
      <w:pPr>
        <w:rPr>
          <w:b/>
        </w:rPr>
        <w:sectPr w:rsidR="00814EFA" w:rsidRPr="00814EFA">
          <w:type w:val="continuous"/>
          <w:pgSz w:w="12240" w:h="15840"/>
          <w:pgMar w:top="1440" w:right="1300" w:bottom="280" w:left="1320" w:header="720" w:footer="720" w:gutter="0"/>
          <w:cols w:space="720"/>
        </w:sectPr>
      </w:pPr>
      <w:r w:rsidRPr="00814EFA">
        <w:rPr>
          <w:b/>
        </w:rPr>
        <w:t xml:space="preserve">The objectives of this event </w:t>
      </w:r>
      <w:proofErr w:type="gramStart"/>
      <w:r w:rsidRPr="00814EFA">
        <w:rPr>
          <w:b/>
        </w:rPr>
        <w:t>are :</w:t>
      </w:r>
      <w:proofErr w:type="gramEnd"/>
      <w:r w:rsidRPr="00814EFA">
        <w:rPr>
          <w:b/>
        </w:rPr>
        <w:t xml:space="preserve"> </w:t>
      </w:r>
    </w:p>
    <w:p w:rsidR="00CE627D" w:rsidRDefault="00CE627D" w:rsidP="00BF5525">
      <w:pPr>
        <w:pStyle w:val="ListParagraph"/>
        <w:numPr>
          <w:ilvl w:val="0"/>
          <w:numId w:val="2"/>
        </w:numPr>
        <w:tabs>
          <w:tab w:val="left" w:pos="826"/>
        </w:tabs>
        <w:spacing w:before="5" w:line="261" w:lineRule="auto"/>
        <w:jc w:val="both"/>
        <w:rPr>
          <w:sz w:val="24"/>
        </w:rPr>
      </w:pPr>
      <w:r w:rsidRPr="00CE627D">
        <w:rPr>
          <w:sz w:val="24"/>
        </w:rPr>
        <w:lastRenderedPageBreak/>
        <w:t>The publication of the platforms of Albania's various political parties on gender equality in elections.</w:t>
      </w:r>
    </w:p>
    <w:p w:rsidR="00CE627D" w:rsidRDefault="00CE627D" w:rsidP="00BF5525">
      <w:pPr>
        <w:pStyle w:val="ListParagraph"/>
        <w:numPr>
          <w:ilvl w:val="0"/>
          <w:numId w:val="2"/>
        </w:numPr>
        <w:tabs>
          <w:tab w:val="left" w:pos="826"/>
        </w:tabs>
        <w:spacing w:before="5" w:line="261" w:lineRule="auto"/>
        <w:jc w:val="both"/>
        <w:rPr>
          <w:sz w:val="24"/>
        </w:rPr>
      </w:pPr>
      <w:r w:rsidRPr="00CE627D">
        <w:rPr>
          <w:sz w:val="24"/>
        </w:rPr>
        <w:t>Development of recommendations for improving and enforcing the Electoral Code, as well as increasing the number of women in politics.</w:t>
      </w:r>
    </w:p>
    <w:p w:rsidR="009C2504" w:rsidRDefault="009C2504">
      <w:pPr>
        <w:pStyle w:val="BodyText"/>
        <w:spacing w:before="1"/>
        <w:rPr>
          <w:rFonts w:ascii="Calibri"/>
          <w:sz w:val="20"/>
        </w:rPr>
      </w:pPr>
    </w:p>
    <w:p w:rsidR="00814EFA" w:rsidRDefault="00814EFA">
      <w:pPr>
        <w:pStyle w:val="Heading1"/>
      </w:pPr>
      <w:proofErr w:type="gramStart"/>
      <w:r>
        <w:t>Format :</w:t>
      </w:r>
      <w:proofErr w:type="gramEnd"/>
    </w:p>
    <w:p w:rsidR="00CE627D" w:rsidRDefault="00814EFA" w:rsidP="00BF5525">
      <w:pPr>
        <w:pStyle w:val="Heading1"/>
      </w:pPr>
      <w:r>
        <w:rPr>
          <w:b w:val="0"/>
        </w:rPr>
        <w:t xml:space="preserve">Due to the restrictions because of the pandemic, Webinar is planned to be </w:t>
      </w:r>
      <w:r w:rsidR="00BF5525">
        <w:rPr>
          <w:b w:val="0"/>
        </w:rPr>
        <w:t>presented online in Zoom platform. (More details about this event can be accessed in this link</w:t>
      </w:r>
      <w:r w:rsidR="00BF5525" w:rsidRPr="00BF5525">
        <w:t>--------)</w:t>
      </w:r>
    </w:p>
    <w:p w:rsidR="00CE627D" w:rsidRDefault="00CE627D" w:rsidP="00BF5525">
      <w:pPr>
        <w:pStyle w:val="Heading1"/>
      </w:pPr>
    </w:p>
    <w:p w:rsidR="009C2504" w:rsidRPr="00BF5525" w:rsidRDefault="00CE627D" w:rsidP="00BF5525">
      <w:pPr>
        <w:pStyle w:val="Heading1"/>
        <w:rPr>
          <w:b w:val="0"/>
        </w:rPr>
      </w:pPr>
      <w:r w:rsidRPr="00CE627D">
        <w:t>The resources required to achieve the purpose and objectives:</w:t>
      </w:r>
      <w:r w:rsidR="00BF5525">
        <w:tab/>
      </w:r>
      <w:r w:rsidR="00814EFA">
        <w:rPr>
          <w:b w:val="0"/>
        </w:rPr>
        <w:t xml:space="preserve"> </w:t>
      </w:r>
    </w:p>
    <w:p w:rsidR="00BF5525" w:rsidRDefault="00BF5525">
      <w:pPr>
        <w:pStyle w:val="Heading1"/>
      </w:pPr>
    </w:p>
    <w:p w:rsidR="00CE627D" w:rsidRDefault="00CE627D" w:rsidP="00BF5525">
      <w:pPr>
        <w:pStyle w:val="ListParagraph"/>
        <w:numPr>
          <w:ilvl w:val="0"/>
          <w:numId w:val="2"/>
        </w:numPr>
        <w:tabs>
          <w:tab w:val="left" w:pos="826"/>
        </w:tabs>
        <w:spacing w:before="179"/>
        <w:ind w:right="0"/>
        <w:jc w:val="both"/>
        <w:rPr>
          <w:sz w:val="24"/>
        </w:rPr>
      </w:pPr>
      <w:r w:rsidRPr="00CE627D">
        <w:rPr>
          <w:sz w:val="24"/>
        </w:rPr>
        <w:t xml:space="preserve"> Protection of women political party participants in Albania;</w:t>
      </w:r>
    </w:p>
    <w:p w:rsidR="00CE627D" w:rsidRDefault="00CE627D">
      <w:pPr>
        <w:pStyle w:val="ListParagraph"/>
        <w:numPr>
          <w:ilvl w:val="0"/>
          <w:numId w:val="2"/>
        </w:numPr>
        <w:tabs>
          <w:tab w:val="left" w:pos="826"/>
        </w:tabs>
        <w:spacing w:line="256" w:lineRule="auto"/>
        <w:ind w:right="150"/>
        <w:jc w:val="both"/>
        <w:rPr>
          <w:sz w:val="24"/>
        </w:rPr>
      </w:pPr>
      <w:r w:rsidRPr="00CE627D">
        <w:rPr>
          <w:sz w:val="24"/>
        </w:rPr>
        <w:t>Ensuring participation in the Webinar of representatives from public institutions directly involved in the election process, as well as representatives from various civil society actors and independent institutions in Albania, as well as the OSCE presence in Albania involved in the election monitoring process.</w:t>
      </w:r>
    </w:p>
    <w:p w:rsidR="00CE627D" w:rsidRDefault="00CE627D">
      <w:pPr>
        <w:pStyle w:val="ListParagraph"/>
        <w:numPr>
          <w:ilvl w:val="0"/>
          <w:numId w:val="2"/>
        </w:numPr>
        <w:tabs>
          <w:tab w:val="left" w:pos="826"/>
        </w:tabs>
        <w:spacing w:line="256" w:lineRule="auto"/>
        <w:ind w:right="150"/>
        <w:jc w:val="both"/>
        <w:rPr>
          <w:sz w:val="24"/>
        </w:rPr>
      </w:pPr>
      <w:r w:rsidRPr="00CE627D">
        <w:rPr>
          <w:sz w:val="24"/>
        </w:rPr>
        <w:t>Collaboration and support from written/visual media, as well as social media in Switzerland and Albania.</w:t>
      </w:r>
    </w:p>
    <w:p w:rsidR="009C2504" w:rsidRDefault="009C2504">
      <w:pPr>
        <w:pStyle w:val="BodyText"/>
        <w:rPr>
          <w:sz w:val="26"/>
        </w:rPr>
      </w:pPr>
    </w:p>
    <w:p w:rsidR="00BF5525" w:rsidRDefault="00BF5525" w:rsidP="00BF5525">
      <w:pPr>
        <w:pStyle w:val="Heading1"/>
        <w:ind w:left="0"/>
      </w:pPr>
      <w:r>
        <w:rPr>
          <w:b w:val="0"/>
          <w:bCs w:val="0"/>
          <w:sz w:val="28"/>
        </w:rPr>
        <w:t xml:space="preserve">  </w:t>
      </w:r>
      <w:r w:rsidRPr="00BF5525">
        <w:t>Expected results:</w:t>
      </w:r>
    </w:p>
    <w:p w:rsidR="00BF5525" w:rsidRDefault="00CE627D" w:rsidP="00B25001">
      <w:pPr>
        <w:pStyle w:val="ListParagraph"/>
        <w:numPr>
          <w:ilvl w:val="0"/>
          <w:numId w:val="1"/>
        </w:numPr>
        <w:tabs>
          <w:tab w:val="left" w:pos="665"/>
          <w:tab w:val="left" w:pos="666"/>
        </w:tabs>
        <w:spacing w:before="174" w:line="261" w:lineRule="auto"/>
        <w:rPr>
          <w:sz w:val="24"/>
        </w:rPr>
      </w:pPr>
      <w:r w:rsidRPr="00CE627D">
        <w:rPr>
          <w:sz w:val="24"/>
        </w:rPr>
        <w:t>Involvement of institutional structures responsible for gender quota compliance, with a focus not only on central elections but also on local/municipal elections.</w:t>
      </w:r>
    </w:p>
    <w:p w:rsidR="00B25001" w:rsidRPr="00B25001" w:rsidRDefault="00B25001" w:rsidP="00B25001">
      <w:pPr>
        <w:pStyle w:val="ListParagraph"/>
        <w:numPr>
          <w:ilvl w:val="0"/>
          <w:numId w:val="1"/>
        </w:numPr>
        <w:tabs>
          <w:tab w:val="left" w:pos="665"/>
          <w:tab w:val="left" w:pos="666"/>
        </w:tabs>
        <w:spacing w:before="174" w:line="261" w:lineRule="auto"/>
        <w:rPr>
          <w:sz w:val="24"/>
        </w:rPr>
      </w:pPr>
      <w:r w:rsidRPr="00B25001">
        <w:rPr>
          <w:sz w:val="24"/>
        </w:rPr>
        <w:t>Writing a report based on the main findings of this Webinar in order to raise awareness among political parties and institutions responsible for gender quota compliance.</w:t>
      </w:r>
    </w:p>
    <w:p w:rsidR="009C2504" w:rsidRDefault="009C2504">
      <w:pPr>
        <w:spacing w:line="256" w:lineRule="auto"/>
        <w:rPr>
          <w:sz w:val="24"/>
        </w:rPr>
      </w:pPr>
    </w:p>
    <w:p w:rsidR="00752A7A" w:rsidRDefault="00752A7A">
      <w:pPr>
        <w:spacing w:line="256" w:lineRule="auto"/>
        <w:rPr>
          <w:sz w:val="24"/>
        </w:rPr>
        <w:sectPr w:rsidR="00752A7A">
          <w:pgSz w:w="12240" w:h="15840"/>
          <w:pgMar w:top="1380" w:right="1300" w:bottom="280" w:left="1320" w:header="720" w:footer="720" w:gutter="0"/>
          <w:cols w:space="720"/>
        </w:sectPr>
      </w:pPr>
      <w:r w:rsidRPr="00752A7A">
        <w:rPr>
          <w:sz w:val="24"/>
        </w:rPr>
        <w:t>Ps: WAW has developed the same format for early elections (February 14, 2021) for the Assembly of Kosovo</w:t>
      </w:r>
      <w:r w:rsidR="00B25001">
        <w:rPr>
          <w:sz w:val="24"/>
        </w:rPr>
        <w:t>.</w:t>
      </w:r>
    </w:p>
    <w:p w:rsidR="009C2504" w:rsidRDefault="00B25001">
      <w:pPr>
        <w:spacing w:before="41"/>
        <w:ind w:right="117"/>
        <w:jc w:val="right"/>
        <w:rPr>
          <w:rFonts w:ascii="Calibri"/>
        </w:rPr>
      </w:pPr>
      <w:r>
        <w:rPr>
          <w:rFonts w:ascii="Calibri"/>
        </w:rPr>
        <w:lastRenderedPageBreak/>
        <w:t>2</w:t>
      </w:r>
    </w:p>
    <w:sectPr w:rsidR="009C2504" w:rsidSect="009C2504">
      <w:pgSz w:w="12240" w:h="15840"/>
      <w:pgMar w:top="1400" w:right="1300" w:bottom="280" w:left="132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6B6736"/>
    <w:multiLevelType w:val="hybridMultilevel"/>
    <w:tmpl w:val="831C51BC"/>
    <w:lvl w:ilvl="0" w:tplc="15825E3A">
      <w:numFmt w:val="bullet"/>
      <w:lvlText w:val="•"/>
      <w:lvlJc w:val="left"/>
      <w:pPr>
        <w:ind w:left="826" w:hanging="361"/>
      </w:pPr>
      <w:rPr>
        <w:rFonts w:ascii="Times New Roman" w:eastAsia="Times New Roman" w:hAnsi="Times New Roman" w:cs="Times New Roman" w:hint="default"/>
        <w:w w:val="100"/>
        <w:sz w:val="24"/>
        <w:szCs w:val="24"/>
        <w:lang w:val="en-US" w:eastAsia="en-US" w:bidi="ar-SA"/>
      </w:rPr>
    </w:lvl>
    <w:lvl w:ilvl="1" w:tplc="514EAAD4">
      <w:numFmt w:val="bullet"/>
      <w:lvlText w:val="•"/>
      <w:lvlJc w:val="left"/>
      <w:pPr>
        <w:ind w:left="1700" w:hanging="361"/>
      </w:pPr>
      <w:rPr>
        <w:rFonts w:hint="default"/>
        <w:lang w:val="en-US" w:eastAsia="en-US" w:bidi="ar-SA"/>
      </w:rPr>
    </w:lvl>
    <w:lvl w:ilvl="2" w:tplc="3926B6EA">
      <w:numFmt w:val="bullet"/>
      <w:lvlText w:val="•"/>
      <w:lvlJc w:val="left"/>
      <w:pPr>
        <w:ind w:left="2580" w:hanging="361"/>
      </w:pPr>
      <w:rPr>
        <w:rFonts w:hint="default"/>
        <w:lang w:val="en-US" w:eastAsia="en-US" w:bidi="ar-SA"/>
      </w:rPr>
    </w:lvl>
    <w:lvl w:ilvl="3" w:tplc="C516557A">
      <w:numFmt w:val="bullet"/>
      <w:lvlText w:val="•"/>
      <w:lvlJc w:val="left"/>
      <w:pPr>
        <w:ind w:left="3460" w:hanging="361"/>
      </w:pPr>
      <w:rPr>
        <w:rFonts w:hint="default"/>
        <w:lang w:val="en-US" w:eastAsia="en-US" w:bidi="ar-SA"/>
      </w:rPr>
    </w:lvl>
    <w:lvl w:ilvl="4" w:tplc="B70825F8">
      <w:numFmt w:val="bullet"/>
      <w:lvlText w:val="•"/>
      <w:lvlJc w:val="left"/>
      <w:pPr>
        <w:ind w:left="4340" w:hanging="361"/>
      </w:pPr>
      <w:rPr>
        <w:rFonts w:hint="default"/>
        <w:lang w:val="en-US" w:eastAsia="en-US" w:bidi="ar-SA"/>
      </w:rPr>
    </w:lvl>
    <w:lvl w:ilvl="5" w:tplc="F324307C">
      <w:numFmt w:val="bullet"/>
      <w:lvlText w:val="•"/>
      <w:lvlJc w:val="left"/>
      <w:pPr>
        <w:ind w:left="5220" w:hanging="361"/>
      </w:pPr>
      <w:rPr>
        <w:rFonts w:hint="default"/>
        <w:lang w:val="en-US" w:eastAsia="en-US" w:bidi="ar-SA"/>
      </w:rPr>
    </w:lvl>
    <w:lvl w:ilvl="6" w:tplc="76BA49BA">
      <w:numFmt w:val="bullet"/>
      <w:lvlText w:val="•"/>
      <w:lvlJc w:val="left"/>
      <w:pPr>
        <w:ind w:left="6100" w:hanging="361"/>
      </w:pPr>
      <w:rPr>
        <w:rFonts w:hint="default"/>
        <w:lang w:val="en-US" w:eastAsia="en-US" w:bidi="ar-SA"/>
      </w:rPr>
    </w:lvl>
    <w:lvl w:ilvl="7" w:tplc="F98ABA4C">
      <w:numFmt w:val="bullet"/>
      <w:lvlText w:val="•"/>
      <w:lvlJc w:val="left"/>
      <w:pPr>
        <w:ind w:left="6980" w:hanging="361"/>
      </w:pPr>
      <w:rPr>
        <w:rFonts w:hint="default"/>
        <w:lang w:val="en-US" w:eastAsia="en-US" w:bidi="ar-SA"/>
      </w:rPr>
    </w:lvl>
    <w:lvl w:ilvl="8" w:tplc="988224C0">
      <w:numFmt w:val="bullet"/>
      <w:lvlText w:val="•"/>
      <w:lvlJc w:val="left"/>
      <w:pPr>
        <w:ind w:left="7860" w:hanging="361"/>
      </w:pPr>
      <w:rPr>
        <w:rFonts w:hint="default"/>
        <w:lang w:val="en-US" w:eastAsia="en-US" w:bidi="ar-SA"/>
      </w:rPr>
    </w:lvl>
  </w:abstractNum>
  <w:abstractNum w:abstractNumId="1">
    <w:nsid w:val="6D065CFB"/>
    <w:multiLevelType w:val="hybridMultilevel"/>
    <w:tmpl w:val="B6A8CA24"/>
    <w:lvl w:ilvl="0" w:tplc="4C64F710">
      <w:numFmt w:val="bullet"/>
      <w:lvlText w:val="•"/>
      <w:lvlJc w:val="left"/>
      <w:pPr>
        <w:ind w:left="666" w:hanging="361"/>
      </w:pPr>
      <w:rPr>
        <w:rFonts w:ascii="Times New Roman" w:eastAsia="Times New Roman" w:hAnsi="Times New Roman" w:cs="Times New Roman" w:hint="default"/>
        <w:w w:val="100"/>
        <w:sz w:val="24"/>
        <w:szCs w:val="24"/>
        <w:lang w:val="en-US" w:eastAsia="en-US" w:bidi="ar-SA"/>
      </w:rPr>
    </w:lvl>
    <w:lvl w:ilvl="1" w:tplc="A9F0C968">
      <w:numFmt w:val="bullet"/>
      <w:lvlText w:val="•"/>
      <w:lvlJc w:val="left"/>
      <w:pPr>
        <w:ind w:left="1556" w:hanging="361"/>
      </w:pPr>
      <w:rPr>
        <w:rFonts w:hint="default"/>
        <w:lang w:val="en-US" w:eastAsia="en-US" w:bidi="ar-SA"/>
      </w:rPr>
    </w:lvl>
    <w:lvl w:ilvl="2" w:tplc="2E8C3C06">
      <w:numFmt w:val="bullet"/>
      <w:lvlText w:val="•"/>
      <w:lvlJc w:val="left"/>
      <w:pPr>
        <w:ind w:left="2452" w:hanging="361"/>
      </w:pPr>
      <w:rPr>
        <w:rFonts w:hint="default"/>
        <w:lang w:val="en-US" w:eastAsia="en-US" w:bidi="ar-SA"/>
      </w:rPr>
    </w:lvl>
    <w:lvl w:ilvl="3" w:tplc="2AC075E4">
      <w:numFmt w:val="bullet"/>
      <w:lvlText w:val="•"/>
      <w:lvlJc w:val="left"/>
      <w:pPr>
        <w:ind w:left="3348" w:hanging="361"/>
      </w:pPr>
      <w:rPr>
        <w:rFonts w:hint="default"/>
        <w:lang w:val="en-US" w:eastAsia="en-US" w:bidi="ar-SA"/>
      </w:rPr>
    </w:lvl>
    <w:lvl w:ilvl="4" w:tplc="51DCC3B8">
      <w:numFmt w:val="bullet"/>
      <w:lvlText w:val="•"/>
      <w:lvlJc w:val="left"/>
      <w:pPr>
        <w:ind w:left="4244" w:hanging="361"/>
      </w:pPr>
      <w:rPr>
        <w:rFonts w:hint="default"/>
        <w:lang w:val="en-US" w:eastAsia="en-US" w:bidi="ar-SA"/>
      </w:rPr>
    </w:lvl>
    <w:lvl w:ilvl="5" w:tplc="EBB28A94">
      <w:numFmt w:val="bullet"/>
      <w:lvlText w:val="•"/>
      <w:lvlJc w:val="left"/>
      <w:pPr>
        <w:ind w:left="5140" w:hanging="361"/>
      </w:pPr>
      <w:rPr>
        <w:rFonts w:hint="default"/>
        <w:lang w:val="en-US" w:eastAsia="en-US" w:bidi="ar-SA"/>
      </w:rPr>
    </w:lvl>
    <w:lvl w:ilvl="6" w:tplc="DA322E5C">
      <w:numFmt w:val="bullet"/>
      <w:lvlText w:val="•"/>
      <w:lvlJc w:val="left"/>
      <w:pPr>
        <w:ind w:left="6036" w:hanging="361"/>
      </w:pPr>
      <w:rPr>
        <w:rFonts w:hint="default"/>
        <w:lang w:val="en-US" w:eastAsia="en-US" w:bidi="ar-SA"/>
      </w:rPr>
    </w:lvl>
    <w:lvl w:ilvl="7" w:tplc="E35CFAA8">
      <w:numFmt w:val="bullet"/>
      <w:lvlText w:val="•"/>
      <w:lvlJc w:val="left"/>
      <w:pPr>
        <w:ind w:left="6932" w:hanging="361"/>
      </w:pPr>
      <w:rPr>
        <w:rFonts w:hint="default"/>
        <w:lang w:val="en-US" w:eastAsia="en-US" w:bidi="ar-SA"/>
      </w:rPr>
    </w:lvl>
    <w:lvl w:ilvl="8" w:tplc="B9881952">
      <w:numFmt w:val="bullet"/>
      <w:lvlText w:val="•"/>
      <w:lvlJc w:val="left"/>
      <w:pPr>
        <w:ind w:left="7828" w:hanging="361"/>
      </w:pPr>
      <w:rPr>
        <w:rFonts w:hint="default"/>
        <w:lang w:val="en-US" w:eastAsia="en-US" w:bidi="ar-SA"/>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ulTrailSpace/>
    <w:shapeLayoutLikeWW8/>
  </w:compat>
  <w:rsids>
    <w:rsidRoot w:val="009C2504"/>
    <w:rsid w:val="003A329A"/>
    <w:rsid w:val="00752A7A"/>
    <w:rsid w:val="00814EFA"/>
    <w:rsid w:val="009C2504"/>
    <w:rsid w:val="00B25001"/>
    <w:rsid w:val="00BF5525"/>
    <w:rsid w:val="00CE62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C2504"/>
    <w:rPr>
      <w:rFonts w:ascii="Times New Roman" w:eastAsia="Times New Roman" w:hAnsi="Times New Roman" w:cs="Times New Roman"/>
    </w:rPr>
  </w:style>
  <w:style w:type="paragraph" w:styleId="Heading1">
    <w:name w:val="heading 1"/>
    <w:basedOn w:val="Normal"/>
    <w:uiPriority w:val="1"/>
    <w:qFormat/>
    <w:rsid w:val="009C2504"/>
    <w:pPr>
      <w:ind w:left="105"/>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9C2504"/>
    <w:rPr>
      <w:sz w:val="24"/>
      <w:szCs w:val="24"/>
    </w:rPr>
  </w:style>
  <w:style w:type="paragraph" w:styleId="ListParagraph">
    <w:name w:val="List Paragraph"/>
    <w:basedOn w:val="Normal"/>
    <w:uiPriority w:val="1"/>
    <w:qFormat/>
    <w:rsid w:val="009C2504"/>
    <w:pPr>
      <w:ind w:left="826" w:right="147" w:hanging="361"/>
    </w:pPr>
  </w:style>
  <w:style w:type="paragraph" w:customStyle="1" w:styleId="TableParagraph">
    <w:name w:val="Table Paragraph"/>
    <w:basedOn w:val="Normal"/>
    <w:uiPriority w:val="1"/>
    <w:qFormat/>
    <w:rsid w:val="009C2504"/>
  </w:style>
  <w:style w:type="paragraph" w:styleId="BalloonText">
    <w:name w:val="Balloon Text"/>
    <w:basedOn w:val="Normal"/>
    <w:link w:val="BalloonTextChar"/>
    <w:uiPriority w:val="99"/>
    <w:semiHidden/>
    <w:unhideWhenUsed/>
    <w:rsid w:val="003A329A"/>
    <w:rPr>
      <w:rFonts w:ascii="Tahoma" w:hAnsi="Tahoma" w:cs="Tahoma"/>
      <w:sz w:val="16"/>
      <w:szCs w:val="16"/>
    </w:rPr>
  </w:style>
  <w:style w:type="character" w:customStyle="1" w:styleId="BalloonTextChar">
    <w:name w:val="Balloon Text Char"/>
    <w:basedOn w:val="DefaultParagraphFont"/>
    <w:link w:val="BalloonText"/>
    <w:uiPriority w:val="99"/>
    <w:semiHidden/>
    <w:rsid w:val="003A329A"/>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walbw.c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BC3AD7-ABD5-4DDA-9905-EF8464324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3</Pages>
  <Words>427</Words>
  <Characters>2436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4</cp:revision>
  <dcterms:created xsi:type="dcterms:W3CDTF">2022-09-15T08:37:00Z</dcterms:created>
  <dcterms:modified xsi:type="dcterms:W3CDTF">2022-09-15T10:15:00Z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2021-03-24T00:00:00Z</vt:filetime>
  </property>
  <property fmtid="{D5CDD505-2E9C-101B-9397-08002B2CF9AE}" pid="3" name="Creator">
    <vt:lpwstr>Microsoft Word</vt:lpwstr>
  </property>
  <property fmtid="{D5CDD505-2E9C-101B-9397-08002B2CF9AE}" pid="4" name="LastSaved">
    <vt:filetime>2022-09-15T00:00:00Z</vt:filetime>
  </property>
</Properties>
</file>